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3924"/>
        <w:gridCol w:w="5364"/>
      </w:tblGrid>
      <w:tr w:rsidR="000C73FE" w:rsidTr="000C73FE">
        <w:tc>
          <w:tcPr>
            <w:tcW w:w="9288" w:type="dxa"/>
            <w:gridSpan w:val="2"/>
            <w:shd w:val="clear" w:color="auto" w:fill="8DB3E2" w:themeFill="text2" w:themeFillTint="66"/>
            <w:vAlign w:val="center"/>
          </w:tcPr>
          <w:p w:rsidR="000C73FE" w:rsidRDefault="000C73FE" w:rsidP="00063506">
            <w:pPr>
              <w:jc w:val="center"/>
              <w:rPr>
                <w:b/>
                <w:sz w:val="36"/>
                <w:szCs w:val="36"/>
              </w:rPr>
            </w:pPr>
            <w:r w:rsidRPr="00063506">
              <w:rPr>
                <w:b/>
                <w:sz w:val="36"/>
                <w:szCs w:val="36"/>
              </w:rPr>
              <w:t>Desktop Option</w:t>
            </w:r>
            <w:r>
              <w:rPr>
                <w:b/>
                <w:sz w:val="36"/>
                <w:szCs w:val="36"/>
              </w:rPr>
              <w:t xml:space="preserve"> w/Core CAL Suite</w:t>
            </w:r>
            <w:r w:rsidR="00927749">
              <w:rPr>
                <w:b/>
                <w:sz w:val="36"/>
                <w:szCs w:val="36"/>
              </w:rPr>
              <w:t xml:space="preserve"> </w:t>
            </w:r>
          </w:p>
          <w:p w:rsidR="00927749" w:rsidRPr="004E3A71" w:rsidRDefault="004E3A71" w:rsidP="00063506">
            <w:pPr>
              <w:jc w:val="center"/>
              <w:rPr>
                <w:b/>
                <w:i/>
                <w:sz w:val="24"/>
                <w:szCs w:val="24"/>
              </w:rPr>
            </w:pPr>
            <w:r w:rsidRPr="004E3A71">
              <w:rPr>
                <w:b/>
                <w:i/>
                <w:sz w:val="24"/>
                <w:szCs w:val="24"/>
              </w:rPr>
              <w:t xml:space="preserve">School Agreement Estimated </w:t>
            </w:r>
            <w:r w:rsidR="00927749" w:rsidRPr="004E3A71">
              <w:rPr>
                <w:b/>
                <w:i/>
                <w:sz w:val="24"/>
                <w:szCs w:val="24"/>
              </w:rPr>
              <w:t>MSRP $45.00</w:t>
            </w:r>
          </w:p>
          <w:p w:rsidR="00927749" w:rsidRPr="00063506" w:rsidRDefault="004E3A71" w:rsidP="004E3A71">
            <w:pPr>
              <w:jc w:val="center"/>
              <w:rPr>
                <w:b/>
                <w:sz w:val="36"/>
                <w:szCs w:val="36"/>
              </w:rPr>
            </w:pPr>
            <w:r w:rsidRPr="004E3A71">
              <w:rPr>
                <w:b/>
                <w:i/>
                <w:sz w:val="24"/>
                <w:szCs w:val="24"/>
              </w:rPr>
              <w:t>Campus</w:t>
            </w:r>
            <w:r w:rsidR="007C7FB9">
              <w:rPr>
                <w:b/>
                <w:i/>
                <w:sz w:val="24"/>
                <w:szCs w:val="24"/>
              </w:rPr>
              <w:t>/EES</w:t>
            </w:r>
            <w:r w:rsidRPr="004E3A71">
              <w:rPr>
                <w:b/>
                <w:i/>
                <w:sz w:val="24"/>
                <w:szCs w:val="24"/>
              </w:rPr>
              <w:t xml:space="preserve"> Agreement Estimated </w:t>
            </w:r>
            <w:r w:rsidR="00927749" w:rsidRPr="004E3A71">
              <w:rPr>
                <w:b/>
                <w:i/>
                <w:sz w:val="24"/>
                <w:szCs w:val="24"/>
              </w:rPr>
              <w:t>MSRP $57.00</w:t>
            </w:r>
          </w:p>
        </w:tc>
      </w:tr>
      <w:tr w:rsidR="000C73FE" w:rsidTr="000C73FE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C73FE" w:rsidRPr="000C73FE" w:rsidRDefault="000C73FE" w:rsidP="000C73FE">
            <w:pPr>
              <w:jc w:val="center"/>
              <w:rPr>
                <w:b/>
              </w:rPr>
            </w:pPr>
            <w:r w:rsidRPr="000C73FE">
              <w:rPr>
                <w:b/>
              </w:rPr>
              <w:t>Includes</w:t>
            </w:r>
            <w:r>
              <w:rPr>
                <w:b/>
              </w:rPr>
              <w:t>:</w:t>
            </w:r>
          </w:p>
        </w:tc>
      </w:tr>
      <w:tr w:rsidR="000C73FE" w:rsidTr="000C73FE">
        <w:tc>
          <w:tcPr>
            <w:tcW w:w="3924" w:type="dxa"/>
            <w:vMerge w:val="restart"/>
            <w:shd w:val="clear" w:color="auto" w:fill="DBE5F1" w:themeFill="accent1" w:themeFillTint="33"/>
            <w:vAlign w:val="center"/>
          </w:tcPr>
          <w:p w:rsidR="000C73FE" w:rsidRDefault="000C73FE" w:rsidP="000C73FE">
            <w:r>
              <w:t>Office</w:t>
            </w:r>
          </w:p>
        </w:tc>
        <w:tc>
          <w:tcPr>
            <w:tcW w:w="5364" w:type="dxa"/>
            <w:shd w:val="clear" w:color="auto" w:fill="DBE5F1" w:themeFill="accent1" w:themeFillTint="33"/>
          </w:tcPr>
          <w:p w:rsidR="000C73FE" w:rsidRDefault="000C73FE">
            <w:r>
              <w:t>Office Pro Plus</w:t>
            </w:r>
          </w:p>
        </w:tc>
      </w:tr>
      <w:tr w:rsidR="000C73FE" w:rsidTr="000C73FE">
        <w:tc>
          <w:tcPr>
            <w:tcW w:w="3924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C73FE" w:rsidRDefault="000C73FE"/>
        </w:tc>
        <w:tc>
          <w:tcPr>
            <w:tcW w:w="536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C73FE" w:rsidRDefault="000C73FE">
            <w:r>
              <w:t>Office Mac</w:t>
            </w:r>
          </w:p>
        </w:tc>
      </w:tr>
      <w:tr w:rsidR="000C73FE" w:rsidTr="000C73FE">
        <w:tc>
          <w:tcPr>
            <w:tcW w:w="3924" w:type="dxa"/>
            <w:vMerge w:val="restart"/>
            <w:shd w:val="clear" w:color="auto" w:fill="FDE9D9" w:themeFill="accent6" w:themeFillTint="33"/>
            <w:vAlign w:val="center"/>
          </w:tcPr>
          <w:p w:rsidR="000C73FE" w:rsidRDefault="000C73FE" w:rsidP="000C73FE">
            <w:r>
              <w:t>Windows Operating System</w:t>
            </w:r>
          </w:p>
        </w:tc>
        <w:tc>
          <w:tcPr>
            <w:tcW w:w="5364" w:type="dxa"/>
            <w:shd w:val="clear" w:color="auto" w:fill="FDE9D9" w:themeFill="accent6" w:themeFillTint="33"/>
          </w:tcPr>
          <w:p w:rsidR="000C73FE" w:rsidRDefault="000C73FE">
            <w:r>
              <w:t xml:space="preserve">Windows Pro </w:t>
            </w:r>
            <w:proofErr w:type="spellStart"/>
            <w:r>
              <w:t>Upg</w:t>
            </w:r>
            <w:proofErr w:type="spellEnd"/>
          </w:p>
        </w:tc>
      </w:tr>
      <w:tr w:rsidR="000C73FE" w:rsidTr="000C73FE">
        <w:tc>
          <w:tcPr>
            <w:tcW w:w="3924" w:type="dxa"/>
            <w:vMerge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0C73FE" w:rsidRDefault="000C73FE" w:rsidP="000C73FE">
            <w:pPr>
              <w:jc w:val="center"/>
            </w:pPr>
          </w:p>
        </w:tc>
        <w:tc>
          <w:tcPr>
            <w:tcW w:w="536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0C73FE" w:rsidRDefault="000C73FE" w:rsidP="000C73FE">
            <w:r>
              <w:t>Windows Enterprise</w:t>
            </w:r>
          </w:p>
        </w:tc>
      </w:tr>
      <w:tr w:rsidR="000C73FE" w:rsidTr="000C73FE">
        <w:tc>
          <w:tcPr>
            <w:tcW w:w="3924" w:type="dxa"/>
            <w:vMerge w:val="restart"/>
            <w:shd w:val="clear" w:color="auto" w:fill="EAF1DD" w:themeFill="accent3" w:themeFillTint="33"/>
            <w:vAlign w:val="center"/>
          </w:tcPr>
          <w:p w:rsidR="000C73FE" w:rsidRDefault="000C73FE" w:rsidP="000C73FE">
            <w:r>
              <w:t>Core CAL Suite</w:t>
            </w:r>
          </w:p>
        </w:tc>
        <w:tc>
          <w:tcPr>
            <w:tcW w:w="5364" w:type="dxa"/>
            <w:shd w:val="clear" w:color="auto" w:fill="EAF1DD" w:themeFill="accent3" w:themeFillTint="33"/>
          </w:tcPr>
          <w:p w:rsidR="000C73FE" w:rsidRDefault="000C73FE">
            <w:r>
              <w:t>Windows Standard Client</w:t>
            </w:r>
          </w:p>
        </w:tc>
      </w:tr>
      <w:tr w:rsidR="000C73FE" w:rsidTr="000C73FE">
        <w:trPr>
          <w:trHeight w:val="233"/>
        </w:trPr>
        <w:tc>
          <w:tcPr>
            <w:tcW w:w="3924" w:type="dxa"/>
            <w:vMerge/>
            <w:shd w:val="clear" w:color="auto" w:fill="EAF1DD" w:themeFill="accent3" w:themeFillTint="33"/>
          </w:tcPr>
          <w:p w:rsidR="000C73FE" w:rsidRDefault="000C73FE"/>
        </w:tc>
        <w:tc>
          <w:tcPr>
            <w:tcW w:w="5364" w:type="dxa"/>
            <w:shd w:val="clear" w:color="auto" w:fill="EAF1DD" w:themeFill="accent3" w:themeFillTint="33"/>
          </w:tcPr>
          <w:p w:rsidR="000C73FE" w:rsidRDefault="000C73FE">
            <w:r>
              <w:t>Exchange Standard Client</w:t>
            </w:r>
          </w:p>
        </w:tc>
      </w:tr>
      <w:tr w:rsidR="000C73FE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0C73FE" w:rsidRDefault="000C73FE"/>
        </w:tc>
        <w:tc>
          <w:tcPr>
            <w:tcW w:w="5364" w:type="dxa"/>
            <w:shd w:val="clear" w:color="auto" w:fill="EAF1DD" w:themeFill="accent3" w:themeFillTint="33"/>
          </w:tcPr>
          <w:p w:rsidR="000C73FE" w:rsidRDefault="000C73FE">
            <w:proofErr w:type="spellStart"/>
            <w:r>
              <w:t>Sharepoint</w:t>
            </w:r>
            <w:proofErr w:type="spellEnd"/>
            <w:r>
              <w:t xml:space="preserve"> Standard Client</w:t>
            </w:r>
          </w:p>
        </w:tc>
      </w:tr>
      <w:tr w:rsidR="000C73FE" w:rsidTr="000C73FE">
        <w:tc>
          <w:tcPr>
            <w:tcW w:w="3924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0C73FE" w:rsidRDefault="000C73FE"/>
        </w:tc>
        <w:tc>
          <w:tcPr>
            <w:tcW w:w="5364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0C73FE" w:rsidRDefault="000C73FE">
            <w:r>
              <w:t>System Center Configuration Mgr Client Mgmt License</w:t>
            </w:r>
          </w:p>
        </w:tc>
      </w:tr>
      <w:tr w:rsidR="00D662ED" w:rsidTr="000C73FE">
        <w:tc>
          <w:tcPr>
            <w:tcW w:w="9288" w:type="dxa"/>
            <w:gridSpan w:val="2"/>
            <w:shd w:val="clear" w:color="auto" w:fill="8DB3E2" w:themeFill="text2" w:themeFillTint="66"/>
            <w:vAlign w:val="center"/>
          </w:tcPr>
          <w:p w:rsidR="00D662ED" w:rsidRDefault="00D662ED" w:rsidP="00D662ED">
            <w:pPr>
              <w:jc w:val="center"/>
              <w:rPr>
                <w:b/>
                <w:sz w:val="36"/>
                <w:szCs w:val="36"/>
              </w:rPr>
            </w:pPr>
            <w:r w:rsidRPr="00D662ED">
              <w:rPr>
                <w:b/>
                <w:sz w:val="36"/>
                <w:szCs w:val="36"/>
              </w:rPr>
              <w:t>Desktop Option w/Enterprise CAL Suite</w:t>
            </w:r>
          </w:p>
          <w:p w:rsidR="00927749" w:rsidRPr="004E3A71" w:rsidRDefault="004E3A71" w:rsidP="00D662ED">
            <w:pPr>
              <w:jc w:val="center"/>
              <w:rPr>
                <w:b/>
                <w:i/>
                <w:sz w:val="24"/>
                <w:szCs w:val="24"/>
              </w:rPr>
            </w:pPr>
            <w:r w:rsidRPr="004E3A71">
              <w:rPr>
                <w:b/>
                <w:i/>
                <w:sz w:val="24"/>
                <w:szCs w:val="24"/>
              </w:rPr>
              <w:t xml:space="preserve">School Agreement Estimated </w:t>
            </w:r>
            <w:r w:rsidR="00927749" w:rsidRPr="004E3A71">
              <w:rPr>
                <w:b/>
                <w:i/>
                <w:sz w:val="24"/>
                <w:szCs w:val="24"/>
              </w:rPr>
              <w:t xml:space="preserve">MSRP </w:t>
            </w:r>
            <w:r w:rsidRPr="004E3A71">
              <w:rPr>
                <w:b/>
                <w:i/>
                <w:sz w:val="24"/>
                <w:szCs w:val="24"/>
              </w:rPr>
              <w:t>$</w:t>
            </w:r>
            <w:r w:rsidR="00927749" w:rsidRPr="004E3A71">
              <w:rPr>
                <w:b/>
                <w:i/>
                <w:sz w:val="24"/>
                <w:szCs w:val="24"/>
              </w:rPr>
              <w:t>55.00</w:t>
            </w:r>
          </w:p>
          <w:p w:rsidR="00927749" w:rsidRPr="00927749" w:rsidRDefault="004E3A71" w:rsidP="00927749">
            <w:pPr>
              <w:jc w:val="center"/>
              <w:rPr>
                <w:b/>
                <w:sz w:val="36"/>
                <w:szCs w:val="36"/>
              </w:rPr>
            </w:pPr>
            <w:r w:rsidRPr="004E3A71">
              <w:rPr>
                <w:b/>
                <w:i/>
                <w:sz w:val="24"/>
                <w:szCs w:val="24"/>
              </w:rPr>
              <w:t>Campus</w:t>
            </w:r>
            <w:r w:rsidR="007C7FB9">
              <w:rPr>
                <w:b/>
                <w:i/>
                <w:sz w:val="24"/>
                <w:szCs w:val="24"/>
              </w:rPr>
              <w:t>/EES</w:t>
            </w:r>
            <w:r w:rsidRPr="004E3A71">
              <w:rPr>
                <w:b/>
                <w:i/>
                <w:sz w:val="24"/>
                <w:szCs w:val="24"/>
              </w:rPr>
              <w:t xml:space="preserve"> Agreement Estimated </w:t>
            </w:r>
            <w:r w:rsidR="00927749" w:rsidRPr="004E3A71">
              <w:rPr>
                <w:b/>
                <w:i/>
                <w:sz w:val="24"/>
                <w:szCs w:val="24"/>
              </w:rPr>
              <w:t>$68.00</w:t>
            </w:r>
          </w:p>
        </w:tc>
      </w:tr>
      <w:tr w:rsidR="000C73FE" w:rsidTr="000C73FE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C73FE" w:rsidRPr="00D662ED" w:rsidRDefault="000C73FE" w:rsidP="000C73FE">
            <w:pPr>
              <w:jc w:val="center"/>
              <w:rPr>
                <w:b/>
              </w:rPr>
            </w:pPr>
            <w:r w:rsidRPr="00D662ED">
              <w:rPr>
                <w:b/>
              </w:rPr>
              <w:t>Includes:</w:t>
            </w:r>
          </w:p>
        </w:tc>
      </w:tr>
      <w:tr w:rsidR="00D662ED" w:rsidTr="000C73FE">
        <w:tc>
          <w:tcPr>
            <w:tcW w:w="3924" w:type="dxa"/>
            <w:vMerge w:val="restart"/>
            <w:shd w:val="clear" w:color="auto" w:fill="DBE5F1" w:themeFill="accent1" w:themeFillTint="33"/>
            <w:vAlign w:val="center"/>
          </w:tcPr>
          <w:p w:rsidR="00D662ED" w:rsidRDefault="00D662ED" w:rsidP="00D662ED">
            <w:r>
              <w:t>Office</w:t>
            </w:r>
          </w:p>
        </w:tc>
        <w:tc>
          <w:tcPr>
            <w:tcW w:w="5364" w:type="dxa"/>
            <w:shd w:val="clear" w:color="auto" w:fill="DBE5F1" w:themeFill="accent1" w:themeFillTint="33"/>
          </w:tcPr>
          <w:p w:rsidR="00D662ED" w:rsidRDefault="00D662ED" w:rsidP="00A97838">
            <w:r>
              <w:t>Office Pro Plus</w:t>
            </w:r>
          </w:p>
        </w:tc>
      </w:tr>
      <w:tr w:rsidR="00D662ED" w:rsidTr="000C73FE">
        <w:tc>
          <w:tcPr>
            <w:tcW w:w="3924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D662ED" w:rsidRDefault="00D662ED" w:rsidP="00D662ED"/>
        </w:tc>
        <w:tc>
          <w:tcPr>
            <w:tcW w:w="536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662ED" w:rsidRDefault="00D662ED" w:rsidP="00A97838">
            <w:r>
              <w:t>Office Mac</w:t>
            </w:r>
          </w:p>
        </w:tc>
      </w:tr>
      <w:tr w:rsidR="00D662ED" w:rsidTr="000C73FE">
        <w:tc>
          <w:tcPr>
            <w:tcW w:w="3924" w:type="dxa"/>
            <w:vMerge w:val="restart"/>
            <w:shd w:val="clear" w:color="auto" w:fill="FDE9D9" w:themeFill="accent6" w:themeFillTint="33"/>
            <w:vAlign w:val="center"/>
          </w:tcPr>
          <w:p w:rsidR="00D662ED" w:rsidRDefault="00D662ED" w:rsidP="00D662ED">
            <w:r>
              <w:t>Windows Operating System</w:t>
            </w:r>
          </w:p>
        </w:tc>
        <w:tc>
          <w:tcPr>
            <w:tcW w:w="5364" w:type="dxa"/>
            <w:shd w:val="clear" w:color="auto" w:fill="FDE9D9" w:themeFill="accent6" w:themeFillTint="33"/>
          </w:tcPr>
          <w:p w:rsidR="00D662ED" w:rsidRDefault="00D662ED" w:rsidP="00A97838">
            <w:r>
              <w:t xml:space="preserve">Windows Pro </w:t>
            </w:r>
            <w:proofErr w:type="spellStart"/>
            <w:r>
              <w:t>Upg</w:t>
            </w:r>
            <w:proofErr w:type="spellEnd"/>
          </w:p>
        </w:tc>
      </w:tr>
      <w:tr w:rsidR="00D662ED" w:rsidTr="000C73FE">
        <w:tc>
          <w:tcPr>
            <w:tcW w:w="3924" w:type="dxa"/>
            <w:vMerge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D662ED" w:rsidRDefault="00D662ED" w:rsidP="00D662ED"/>
        </w:tc>
        <w:tc>
          <w:tcPr>
            <w:tcW w:w="536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D662ED" w:rsidRDefault="00D662ED" w:rsidP="000C73FE">
            <w:r>
              <w:t>Windows Enterprise</w:t>
            </w:r>
          </w:p>
        </w:tc>
      </w:tr>
      <w:tr w:rsidR="00D662ED" w:rsidTr="000C73FE">
        <w:tc>
          <w:tcPr>
            <w:tcW w:w="3924" w:type="dxa"/>
            <w:vMerge w:val="restart"/>
            <w:shd w:val="clear" w:color="auto" w:fill="EAF1DD" w:themeFill="accent3" w:themeFillTint="33"/>
            <w:vAlign w:val="center"/>
          </w:tcPr>
          <w:p w:rsidR="00D662ED" w:rsidRDefault="00D662ED" w:rsidP="00D662ED">
            <w:r>
              <w:t>Enterprise CAL Suite</w:t>
            </w:r>
          </w:p>
          <w:p w:rsidR="00D662ED" w:rsidRDefault="00D662ED" w:rsidP="00D662ED"/>
        </w:tc>
        <w:tc>
          <w:tcPr>
            <w:tcW w:w="5364" w:type="dxa"/>
            <w:shd w:val="clear" w:color="auto" w:fill="EAF1DD" w:themeFill="accent3" w:themeFillTint="33"/>
          </w:tcPr>
          <w:p w:rsidR="00D662ED" w:rsidRDefault="00D662ED" w:rsidP="00A97838">
            <w:r>
              <w:t>Windows Standard Client</w:t>
            </w:r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 w:rsidP="00A97838"/>
        </w:tc>
        <w:tc>
          <w:tcPr>
            <w:tcW w:w="5364" w:type="dxa"/>
            <w:shd w:val="clear" w:color="auto" w:fill="EAF1DD" w:themeFill="accent3" w:themeFillTint="33"/>
          </w:tcPr>
          <w:p w:rsidR="00D662ED" w:rsidRDefault="00D662ED" w:rsidP="00A97838">
            <w:r>
              <w:t>Active Directory Rights Managements Services</w:t>
            </w:r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 w:rsidP="00A97838"/>
        </w:tc>
        <w:tc>
          <w:tcPr>
            <w:tcW w:w="5364" w:type="dxa"/>
            <w:shd w:val="clear" w:color="auto" w:fill="EAF1DD" w:themeFill="accent3" w:themeFillTint="33"/>
          </w:tcPr>
          <w:p w:rsidR="00D662ED" w:rsidRDefault="00D662ED" w:rsidP="00A97838">
            <w:r>
              <w:t>Exchange Standard Client</w:t>
            </w:r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 w:rsidP="00A97838"/>
        </w:tc>
        <w:tc>
          <w:tcPr>
            <w:tcW w:w="5364" w:type="dxa"/>
            <w:shd w:val="clear" w:color="auto" w:fill="EAF1DD" w:themeFill="accent3" w:themeFillTint="33"/>
          </w:tcPr>
          <w:p w:rsidR="00D662ED" w:rsidRDefault="00D662ED" w:rsidP="00A97838">
            <w:r>
              <w:t>Exchange Enterprise Client</w:t>
            </w:r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/>
        </w:tc>
        <w:tc>
          <w:tcPr>
            <w:tcW w:w="5364" w:type="dxa"/>
            <w:shd w:val="clear" w:color="auto" w:fill="EAF1DD" w:themeFill="accent3" w:themeFillTint="33"/>
          </w:tcPr>
          <w:p w:rsidR="00D662ED" w:rsidRDefault="00D662ED">
            <w:proofErr w:type="spellStart"/>
            <w:r>
              <w:t>Sharepoint</w:t>
            </w:r>
            <w:proofErr w:type="spellEnd"/>
            <w:r>
              <w:t xml:space="preserve"> Standard Client</w:t>
            </w:r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/>
        </w:tc>
        <w:tc>
          <w:tcPr>
            <w:tcW w:w="5364" w:type="dxa"/>
            <w:shd w:val="clear" w:color="auto" w:fill="EAF1DD" w:themeFill="accent3" w:themeFillTint="33"/>
          </w:tcPr>
          <w:p w:rsidR="00D662ED" w:rsidRDefault="00D662ED">
            <w:proofErr w:type="spellStart"/>
            <w:r>
              <w:t>Sharepoint</w:t>
            </w:r>
            <w:proofErr w:type="spellEnd"/>
            <w:r>
              <w:t xml:space="preserve"> Enterprise Client</w:t>
            </w:r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/>
        </w:tc>
        <w:tc>
          <w:tcPr>
            <w:tcW w:w="5364" w:type="dxa"/>
            <w:shd w:val="clear" w:color="auto" w:fill="EAF1DD" w:themeFill="accent3" w:themeFillTint="33"/>
          </w:tcPr>
          <w:p w:rsidR="00D662ED" w:rsidRDefault="00D662ED">
            <w:r>
              <w:t>Office Communication Standard Client</w:t>
            </w:r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/>
        </w:tc>
        <w:tc>
          <w:tcPr>
            <w:tcW w:w="5364" w:type="dxa"/>
            <w:shd w:val="clear" w:color="auto" w:fill="EAF1DD" w:themeFill="accent3" w:themeFillTint="33"/>
          </w:tcPr>
          <w:p w:rsidR="00D662ED" w:rsidRDefault="00D662ED">
            <w:r>
              <w:t>Office Communication Enterprise Client</w:t>
            </w:r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/>
        </w:tc>
        <w:tc>
          <w:tcPr>
            <w:tcW w:w="5364" w:type="dxa"/>
            <w:shd w:val="clear" w:color="auto" w:fill="EAF1DD" w:themeFill="accent3" w:themeFillTint="33"/>
            <w:vAlign w:val="center"/>
          </w:tcPr>
          <w:p w:rsidR="00D662ED" w:rsidRDefault="00D662ED" w:rsidP="00A97838">
            <w:r>
              <w:t>System Center Configuration Mgr Client Mgmt</w:t>
            </w:r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/>
        </w:tc>
        <w:tc>
          <w:tcPr>
            <w:tcW w:w="5364" w:type="dxa"/>
            <w:shd w:val="clear" w:color="auto" w:fill="EAF1DD" w:themeFill="accent3" w:themeFillTint="33"/>
            <w:vAlign w:val="center"/>
          </w:tcPr>
          <w:p w:rsidR="00D662ED" w:rsidRDefault="00D662ED" w:rsidP="00A97838">
            <w:r>
              <w:t>System Center Service Manager Client Mgmt</w:t>
            </w:r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/>
        </w:tc>
        <w:tc>
          <w:tcPr>
            <w:tcW w:w="5364" w:type="dxa"/>
            <w:shd w:val="clear" w:color="auto" w:fill="EAF1DD" w:themeFill="accent3" w:themeFillTint="33"/>
            <w:vAlign w:val="center"/>
          </w:tcPr>
          <w:p w:rsidR="00D662ED" w:rsidRDefault="00D662ED" w:rsidP="00A97838">
            <w:r>
              <w:t xml:space="preserve">System Center </w:t>
            </w:r>
            <w:proofErr w:type="spellStart"/>
            <w:r>
              <w:t>DataProtection</w:t>
            </w:r>
            <w:proofErr w:type="spellEnd"/>
            <w:r>
              <w:t xml:space="preserve"> Client Mgmt</w:t>
            </w:r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/>
        </w:tc>
        <w:tc>
          <w:tcPr>
            <w:tcW w:w="5364" w:type="dxa"/>
            <w:shd w:val="clear" w:color="auto" w:fill="EAF1DD" w:themeFill="accent3" w:themeFillTint="33"/>
            <w:vAlign w:val="center"/>
          </w:tcPr>
          <w:p w:rsidR="00D662ED" w:rsidRDefault="00D662ED" w:rsidP="00A97838">
            <w:r>
              <w:t>System Center Data Protection Mgmt SVR**</w:t>
            </w:r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/>
        </w:tc>
        <w:tc>
          <w:tcPr>
            <w:tcW w:w="5364" w:type="dxa"/>
            <w:shd w:val="clear" w:color="auto" w:fill="EAF1DD" w:themeFill="accent3" w:themeFillTint="33"/>
            <w:vAlign w:val="center"/>
          </w:tcPr>
          <w:p w:rsidR="00D662ED" w:rsidRDefault="00D662ED" w:rsidP="00A97838">
            <w:r>
              <w:t>System Center Operations Manager Client Mgmt</w:t>
            </w:r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/>
        </w:tc>
        <w:tc>
          <w:tcPr>
            <w:tcW w:w="5364" w:type="dxa"/>
            <w:shd w:val="clear" w:color="auto" w:fill="EAF1DD" w:themeFill="accent3" w:themeFillTint="33"/>
            <w:vAlign w:val="center"/>
          </w:tcPr>
          <w:p w:rsidR="00D662ED" w:rsidRDefault="00D662ED" w:rsidP="00A97838">
            <w:r>
              <w:t>Forefront Unified Access Gateway</w:t>
            </w:r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/>
        </w:tc>
        <w:tc>
          <w:tcPr>
            <w:tcW w:w="5364" w:type="dxa"/>
            <w:shd w:val="clear" w:color="auto" w:fill="EAF1DD" w:themeFill="accent3" w:themeFillTint="33"/>
            <w:vAlign w:val="center"/>
          </w:tcPr>
          <w:p w:rsidR="00D662ED" w:rsidRDefault="00D662ED" w:rsidP="00A97838">
            <w:r>
              <w:t>Forefront Client Security</w:t>
            </w:r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/>
        </w:tc>
        <w:tc>
          <w:tcPr>
            <w:tcW w:w="5364" w:type="dxa"/>
            <w:shd w:val="clear" w:color="auto" w:fill="EAF1DD" w:themeFill="accent3" w:themeFillTint="33"/>
            <w:vAlign w:val="center"/>
          </w:tcPr>
          <w:p w:rsidR="00D662ED" w:rsidRDefault="00D662ED" w:rsidP="00A97838">
            <w:r>
              <w:t>Forefront Protection for Exchange</w:t>
            </w:r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/>
        </w:tc>
        <w:tc>
          <w:tcPr>
            <w:tcW w:w="5364" w:type="dxa"/>
            <w:shd w:val="clear" w:color="auto" w:fill="EAF1DD" w:themeFill="accent3" w:themeFillTint="33"/>
            <w:vAlign w:val="center"/>
          </w:tcPr>
          <w:p w:rsidR="00D662ED" w:rsidRDefault="00D662ED" w:rsidP="00A97838">
            <w:r>
              <w:t>Forefront Online Protection for Exchange</w:t>
            </w:r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/>
        </w:tc>
        <w:tc>
          <w:tcPr>
            <w:tcW w:w="5364" w:type="dxa"/>
            <w:shd w:val="clear" w:color="auto" w:fill="EAF1DD" w:themeFill="accent3" w:themeFillTint="33"/>
            <w:vAlign w:val="center"/>
          </w:tcPr>
          <w:p w:rsidR="00D662ED" w:rsidRDefault="00D662ED" w:rsidP="00A97838">
            <w:r>
              <w:t xml:space="preserve">Forefront Protection for </w:t>
            </w:r>
            <w:proofErr w:type="spellStart"/>
            <w:r>
              <w:t>Sharepoint</w:t>
            </w:r>
            <w:proofErr w:type="spellEnd"/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/>
        </w:tc>
        <w:tc>
          <w:tcPr>
            <w:tcW w:w="5364" w:type="dxa"/>
            <w:shd w:val="clear" w:color="auto" w:fill="EAF1DD" w:themeFill="accent3" w:themeFillTint="33"/>
            <w:vAlign w:val="center"/>
          </w:tcPr>
          <w:p w:rsidR="00D662ED" w:rsidRDefault="00D662ED" w:rsidP="00A97838">
            <w:r>
              <w:t>Forefront Protection for Office Communication Server</w:t>
            </w:r>
          </w:p>
        </w:tc>
      </w:tr>
      <w:tr w:rsidR="00D662ED" w:rsidTr="000C73FE">
        <w:tc>
          <w:tcPr>
            <w:tcW w:w="3924" w:type="dxa"/>
            <w:vMerge/>
            <w:shd w:val="clear" w:color="auto" w:fill="EAF1DD" w:themeFill="accent3" w:themeFillTint="33"/>
          </w:tcPr>
          <w:p w:rsidR="00D662ED" w:rsidRDefault="00D662ED"/>
        </w:tc>
        <w:tc>
          <w:tcPr>
            <w:tcW w:w="5364" w:type="dxa"/>
            <w:shd w:val="clear" w:color="auto" w:fill="EAF1DD" w:themeFill="accent3" w:themeFillTint="33"/>
            <w:vAlign w:val="center"/>
          </w:tcPr>
          <w:p w:rsidR="00D662ED" w:rsidRDefault="00D662ED" w:rsidP="00A97838">
            <w:r>
              <w:t>Forefront Threat Management Gateway Web Protection</w:t>
            </w:r>
          </w:p>
        </w:tc>
      </w:tr>
    </w:tbl>
    <w:p w:rsidR="00A920FA" w:rsidRDefault="00A920FA"/>
    <w:sectPr w:rsidR="00A920FA" w:rsidSect="00A92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characterSpacingControl w:val="doNotCompress"/>
  <w:compat/>
  <w:rsids>
    <w:rsidRoot w:val="00063506"/>
    <w:rsid w:val="00063506"/>
    <w:rsid w:val="000C73FE"/>
    <w:rsid w:val="00133F0E"/>
    <w:rsid w:val="002E2D41"/>
    <w:rsid w:val="004E3A71"/>
    <w:rsid w:val="006E4988"/>
    <w:rsid w:val="007C7FB9"/>
    <w:rsid w:val="008115EE"/>
    <w:rsid w:val="008D3472"/>
    <w:rsid w:val="00927749"/>
    <w:rsid w:val="00A920FA"/>
    <w:rsid w:val="00CE2762"/>
    <w:rsid w:val="00D662ED"/>
    <w:rsid w:val="00F7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Connection, Inc.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Bergeroh</dc:creator>
  <cp:lastModifiedBy>T'nette Shedenhelm</cp:lastModifiedBy>
  <cp:revision>3</cp:revision>
  <dcterms:created xsi:type="dcterms:W3CDTF">2010-10-26T20:09:00Z</dcterms:created>
  <dcterms:modified xsi:type="dcterms:W3CDTF">2010-12-03T14:53:00Z</dcterms:modified>
</cp:coreProperties>
</file>